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A03C" w14:textId="77777777" w:rsidR="009D6849" w:rsidRPr="009D6849" w:rsidRDefault="009D6849" w:rsidP="009D6849">
      <w:pPr>
        <w:jc w:val="center"/>
        <w:rPr>
          <w:rFonts w:ascii="Arial" w:eastAsia="Calibri" w:hAnsi="Arial" w:cs="Arial"/>
          <w:b/>
          <w:sz w:val="22"/>
        </w:rPr>
      </w:pPr>
      <w:bookmarkStart w:id="0" w:name="_GoBack"/>
      <w:bookmarkEnd w:id="0"/>
      <w:r w:rsidRPr="009D6849">
        <w:rPr>
          <w:rFonts w:ascii="Arial" w:eastAsia="Calibri" w:hAnsi="Arial" w:cs="Arial"/>
          <w:b/>
          <w:sz w:val="22"/>
        </w:rPr>
        <w:t xml:space="preserve">DIAGNOSTICS ASSESSMENT PROGRAMME </w:t>
      </w:r>
    </w:p>
    <w:p w14:paraId="716A099E" w14:textId="77777777" w:rsidR="009D6849" w:rsidRPr="002F0B70" w:rsidRDefault="009D6849" w:rsidP="009D6849">
      <w:pPr>
        <w:pStyle w:val="Header"/>
        <w:jc w:val="center"/>
        <w:rPr>
          <w:rFonts w:cs="Arial"/>
          <w:b/>
          <w:bCs/>
          <w:sz w:val="14"/>
        </w:rPr>
      </w:pPr>
    </w:p>
    <w:p w14:paraId="0BFFDADA" w14:textId="77777777" w:rsidR="00CF6E6F" w:rsidRDefault="003C3FAA" w:rsidP="009D6849">
      <w:pPr>
        <w:pStyle w:val="Header"/>
        <w:jc w:val="center"/>
        <w:rPr>
          <w:rFonts w:cs="Arial"/>
          <w:b/>
          <w:bCs/>
          <w:sz w:val="22"/>
        </w:rPr>
      </w:pPr>
      <w:r>
        <w:rPr>
          <w:rFonts w:cs="Arial"/>
          <w:b/>
          <w:bCs/>
          <w:sz w:val="22"/>
        </w:rPr>
        <w:t>T</w:t>
      </w:r>
      <w:r w:rsidRPr="003C3FAA">
        <w:rPr>
          <w:rFonts w:cs="Arial"/>
          <w:b/>
          <w:bCs/>
          <w:sz w:val="22"/>
        </w:rPr>
        <w:t>umour profiling tests to guide adjuvant chemotherapy decisions in early breast cancer</w:t>
      </w:r>
    </w:p>
    <w:p w14:paraId="717B98C3" w14:textId="77777777" w:rsidR="003C3FAA" w:rsidRPr="002F0B70" w:rsidRDefault="003C3FAA" w:rsidP="009D6849">
      <w:pPr>
        <w:pStyle w:val="Header"/>
        <w:jc w:val="center"/>
        <w:rPr>
          <w:rFonts w:cs="Arial"/>
          <w:b/>
          <w:bCs/>
          <w:sz w:val="14"/>
        </w:rPr>
      </w:pPr>
    </w:p>
    <w:p w14:paraId="2DA05A31" w14:textId="77777777" w:rsidR="009D6849" w:rsidRPr="0023782A" w:rsidRDefault="009D6849" w:rsidP="009D6849">
      <w:pPr>
        <w:pStyle w:val="Header"/>
        <w:jc w:val="center"/>
        <w:rPr>
          <w:rFonts w:cs="Arial"/>
          <w:b/>
          <w:bCs/>
          <w:sz w:val="22"/>
          <w:u w:val="single"/>
        </w:rPr>
      </w:pPr>
      <w:r w:rsidRPr="0023782A">
        <w:rPr>
          <w:rFonts w:cs="Arial"/>
          <w:b/>
          <w:bCs/>
          <w:sz w:val="22"/>
          <w:u w:val="single"/>
        </w:rPr>
        <w:t>Diagnostics Consultation Document – Comments</w:t>
      </w:r>
    </w:p>
    <w:p w14:paraId="7BB0CC42" w14:textId="77777777" w:rsidR="0023782A" w:rsidRPr="0023782A" w:rsidRDefault="0023782A" w:rsidP="0023782A">
      <w:pPr>
        <w:pStyle w:val="Header"/>
        <w:spacing w:before="240"/>
        <w:ind w:left="-284"/>
        <w:rPr>
          <w:b/>
          <w:bCs/>
          <w:sz w:val="22"/>
        </w:rPr>
      </w:pPr>
      <w:r w:rsidRPr="0023782A">
        <w:rPr>
          <w:b/>
          <w:bCs/>
          <w:sz w:val="22"/>
        </w:rPr>
        <w:t xml:space="preserve">Date: </w:t>
      </w:r>
      <w:r w:rsidR="002A6B4A">
        <w:rPr>
          <w:b/>
          <w:bCs/>
          <w:sz w:val="22"/>
        </w:rPr>
        <w:t>31 January 2018</w:t>
      </w:r>
      <w:r w:rsidR="002A6B4A">
        <w:rPr>
          <w:b/>
          <w:bCs/>
          <w:sz w:val="22"/>
        </w:rPr>
        <w:tab/>
      </w:r>
    </w:p>
    <w:p w14:paraId="48990499" w14:textId="236294C1" w:rsidR="0023782A" w:rsidRPr="0023782A" w:rsidRDefault="0023782A" w:rsidP="0023782A">
      <w:pPr>
        <w:pStyle w:val="Header"/>
        <w:spacing w:before="240"/>
        <w:ind w:left="-284"/>
        <w:rPr>
          <w:b/>
          <w:bCs/>
          <w:sz w:val="22"/>
        </w:rPr>
      </w:pPr>
      <w:r w:rsidRPr="0023782A">
        <w:rPr>
          <w:b/>
          <w:bCs/>
          <w:sz w:val="22"/>
        </w:rPr>
        <w:t xml:space="preserve">Name: </w:t>
      </w:r>
      <w:r w:rsidR="007B01CA">
        <w:rPr>
          <w:b/>
          <w:bCs/>
          <w:sz w:val="22"/>
        </w:rPr>
        <w:t>UK Breast Cancer Group (UKBCG)</w:t>
      </w:r>
    </w:p>
    <w:p w14:paraId="31524EE7" w14:textId="77777777" w:rsidR="0023782A" w:rsidRPr="0023782A" w:rsidRDefault="0023782A" w:rsidP="0023782A">
      <w:pPr>
        <w:pStyle w:val="Header"/>
        <w:spacing w:before="240"/>
        <w:ind w:left="-284"/>
        <w:rPr>
          <w:b/>
          <w:bCs/>
          <w:sz w:val="22"/>
        </w:rPr>
      </w:pPr>
      <w:r w:rsidRPr="0023782A">
        <w:rPr>
          <w:b/>
          <w:bCs/>
          <w:sz w:val="22"/>
        </w:rPr>
        <w:t xml:space="preserve">Organisation: </w:t>
      </w:r>
      <w:r w:rsidR="002A6B4A">
        <w:rPr>
          <w:b/>
          <w:bCs/>
          <w:sz w:val="22"/>
        </w:rPr>
        <w:t>UK Breast Cancer Group (UKBCG)</w:t>
      </w:r>
    </w:p>
    <w:p w14:paraId="3DA9CE48" w14:textId="77777777" w:rsidR="009D6849" w:rsidRPr="002F0B70" w:rsidRDefault="009D6849" w:rsidP="009D6849">
      <w:pPr>
        <w:pStyle w:val="Header"/>
        <w:jc w:val="center"/>
        <w:rPr>
          <w:rFonts w:cs="Arial"/>
          <w:b/>
          <w:bCs/>
          <w:sz w:val="14"/>
        </w:rPr>
      </w:pPr>
    </w:p>
    <w:tbl>
      <w:tblPr>
        <w:tblStyle w:val="TableGrid"/>
        <w:tblW w:w="14317" w:type="dxa"/>
        <w:tblInd w:w="-601" w:type="dxa"/>
        <w:tblLook w:val="04A0" w:firstRow="1" w:lastRow="0" w:firstColumn="1" w:lastColumn="0" w:noHBand="0" w:noVBand="1"/>
      </w:tblPr>
      <w:tblGrid>
        <w:gridCol w:w="1418"/>
        <w:gridCol w:w="2410"/>
        <w:gridCol w:w="10489"/>
      </w:tblGrid>
      <w:tr w:rsidR="005A482A" w:rsidRPr="001B0995" w14:paraId="41643BBD" w14:textId="77777777" w:rsidTr="005A482A">
        <w:trPr>
          <w:trHeight w:val="470"/>
          <w:tblHeader/>
        </w:trPr>
        <w:tc>
          <w:tcPr>
            <w:tcW w:w="1418" w:type="dxa"/>
            <w:shd w:val="clear" w:color="auto" w:fill="D9D9D9" w:themeFill="background1" w:themeFillShade="D9"/>
            <w:vAlign w:val="center"/>
          </w:tcPr>
          <w:p w14:paraId="365B7C3E" w14:textId="77777777" w:rsidR="005A482A" w:rsidRPr="00BE31DF" w:rsidRDefault="005A482A" w:rsidP="002F0B70">
            <w:pPr>
              <w:pStyle w:val="Heading1"/>
              <w:spacing w:before="0" w:after="0"/>
              <w:rPr>
                <w:rFonts w:cs="Arial"/>
                <w:iCs/>
                <w:sz w:val="22"/>
                <w:szCs w:val="20"/>
              </w:rPr>
            </w:pPr>
            <w:r w:rsidRPr="00BE31DF">
              <w:rPr>
                <w:rFonts w:cs="Arial"/>
                <w:iCs/>
                <w:sz w:val="22"/>
                <w:szCs w:val="20"/>
              </w:rPr>
              <w:t>Comment number</w:t>
            </w:r>
          </w:p>
        </w:tc>
        <w:tc>
          <w:tcPr>
            <w:tcW w:w="2410" w:type="dxa"/>
            <w:shd w:val="clear" w:color="auto" w:fill="D9D9D9" w:themeFill="background1" w:themeFillShade="D9"/>
            <w:vAlign w:val="center"/>
          </w:tcPr>
          <w:p w14:paraId="6EBA396D" w14:textId="77777777" w:rsidR="005A482A" w:rsidRPr="00BE31DF" w:rsidRDefault="005A482A" w:rsidP="002F0B70">
            <w:pPr>
              <w:pStyle w:val="Title"/>
              <w:spacing w:before="0" w:after="0"/>
              <w:jc w:val="left"/>
              <w:rPr>
                <w:rFonts w:cs="Arial"/>
                <w:iCs/>
                <w:sz w:val="22"/>
                <w:szCs w:val="20"/>
              </w:rPr>
            </w:pPr>
            <w:r w:rsidRPr="00BE31DF">
              <w:rPr>
                <w:rFonts w:cs="Arial"/>
                <w:iCs/>
                <w:sz w:val="22"/>
                <w:szCs w:val="20"/>
              </w:rPr>
              <w:t>Section number</w:t>
            </w:r>
          </w:p>
        </w:tc>
        <w:tc>
          <w:tcPr>
            <w:tcW w:w="10489" w:type="dxa"/>
            <w:shd w:val="clear" w:color="auto" w:fill="D9D9D9" w:themeFill="background1" w:themeFillShade="D9"/>
            <w:vAlign w:val="center"/>
          </w:tcPr>
          <w:p w14:paraId="793A01CE" w14:textId="77777777" w:rsidR="005A482A" w:rsidRPr="00BE31DF" w:rsidRDefault="005A482A" w:rsidP="002F0B70">
            <w:pPr>
              <w:pStyle w:val="Title"/>
              <w:tabs>
                <w:tab w:val="left" w:pos="3444"/>
              </w:tabs>
              <w:spacing w:before="0" w:after="0"/>
              <w:jc w:val="left"/>
              <w:rPr>
                <w:rFonts w:cs="Arial"/>
                <w:iCs/>
                <w:sz w:val="22"/>
                <w:szCs w:val="20"/>
              </w:rPr>
            </w:pPr>
            <w:r w:rsidRPr="00BE31DF">
              <w:rPr>
                <w:rFonts w:cs="Arial"/>
                <w:iCs/>
                <w:sz w:val="22"/>
                <w:szCs w:val="20"/>
              </w:rPr>
              <w:t>Comment</w:t>
            </w:r>
            <w:r w:rsidRPr="00BE31DF">
              <w:rPr>
                <w:rFonts w:cs="Arial"/>
                <w:iCs/>
                <w:sz w:val="22"/>
                <w:szCs w:val="20"/>
              </w:rPr>
              <w:tab/>
            </w:r>
          </w:p>
        </w:tc>
      </w:tr>
      <w:tr w:rsidR="005A482A" w:rsidRPr="001B0995" w14:paraId="365A4BAA" w14:textId="77777777" w:rsidTr="005A482A">
        <w:trPr>
          <w:trHeight w:val="470"/>
        </w:trPr>
        <w:tc>
          <w:tcPr>
            <w:tcW w:w="1418" w:type="dxa"/>
          </w:tcPr>
          <w:p w14:paraId="3D549DE6" w14:textId="77777777" w:rsidR="005A482A" w:rsidRPr="00BE31DF" w:rsidRDefault="00603BB0" w:rsidP="00BE31DF">
            <w:pPr>
              <w:rPr>
                <w:rFonts w:ascii="Arial" w:hAnsi="Arial" w:cs="Arial"/>
                <w:sz w:val="22"/>
                <w:szCs w:val="22"/>
              </w:rPr>
            </w:pPr>
            <w:r>
              <w:rPr>
                <w:rFonts w:ascii="Arial" w:hAnsi="Arial" w:cs="Arial"/>
                <w:sz w:val="22"/>
                <w:szCs w:val="22"/>
              </w:rPr>
              <w:t>1</w:t>
            </w:r>
          </w:p>
        </w:tc>
        <w:tc>
          <w:tcPr>
            <w:tcW w:w="2410" w:type="dxa"/>
          </w:tcPr>
          <w:p w14:paraId="723A4B08" w14:textId="15A981C3" w:rsidR="005A482A" w:rsidRPr="00BE31DF" w:rsidRDefault="00153B12" w:rsidP="00BE31DF">
            <w:pPr>
              <w:rPr>
                <w:rFonts w:ascii="Arial" w:hAnsi="Arial" w:cs="Arial"/>
                <w:sz w:val="22"/>
                <w:szCs w:val="22"/>
              </w:rPr>
            </w:pPr>
            <w:r>
              <w:rPr>
                <w:rFonts w:ascii="Arial" w:hAnsi="Arial" w:cs="Arial"/>
                <w:sz w:val="22"/>
                <w:szCs w:val="22"/>
              </w:rPr>
              <w:t>5.1</w:t>
            </w:r>
          </w:p>
        </w:tc>
        <w:tc>
          <w:tcPr>
            <w:tcW w:w="10489" w:type="dxa"/>
          </w:tcPr>
          <w:p w14:paraId="415D60E0" w14:textId="1F89CBE1" w:rsidR="005A482A" w:rsidRPr="00603BB0" w:rsidRDefault="00603BB0" w:rsidP="00072214">
            <w:pPr>
              <w:pStyle w:val="ListParagraph"/>
              <w:spacing w:before="0" w:after="160"/>
              <w:jc w:val="both"/>
              <w:rPr>
                <w:rFonts w:asciiTheme="minorHAnsi" w:hAnsiTheme="minorHAnsi" w:cstheme="minorHAnsi"/>
              </w:rPr>
            </w:pPr>
            <w:r w:rsidRPr="00603BB0">
              <w:rPr>
                <w:rFonts w:asciiTheme="minorHAnsi" w:hAnsiTheme="minorHAnsi" w:cstheme="minorHAnsi"/>
              </w:rPr>
              <w:t xml:space="preserve">There is a strong drive internationally to de-escalate breast cancer treatment in a safe manner. Since the introduction of these tests the proportion of patients receiving chemotherapy </w:t>
            </w:r>
            <w:r w:rsidR="00670E37">
              <w:rPr>
                <w:rFonts w:asciiTheme="minorHAnsi" w:hAnsiTheme="minorHAnsi" w:cstheme="minorHAnsi"/>
              </w:rPr>
              <w:t>for</w:t>
            </w:r>
            <w:r w:rsidR="00670E37" w:rsidRPr="00603BB0">
              <w:rPr>
                <w:rFonts w:asciiTheme="minorHAnsi" w:hAnsiTheme="minorHAnsi" w:cstheme="minorHAnsi"/>
              </w:rPr>
              <w:t xml:space="preserve"> </w:t>
            </w:r>
            <w:r w:rsidRPr="00603BB0">
              <w:rPr>
                <w:rFonts w:asciiTheme="minorHAnsi" w:hAnsiTheme="minorHAnsi" w:cstheme="minorHAnsi"/>
              </w:rPr>
              <w:t xml:space="preserve">node negative disease has fallen. </w:t>
            </w:r>
            <w:r w:rsidRPr="00603BB0">
              <w:rPr>
                <w:rFonts w:asciiTheme="minorHAnsi" w:hAnsiTheme="minorHAnsi" w:cstheme="minorHAnsi"/>
                <w:color w:val="000000"/>
                <w:shd w:val="clear" w:color="auto" w:fill="FFFFFF"/>
              </w:rPr>
              <w:t>The NHS audit in 2016 showed quite clearly that since use of Oncotype DX there has been a</w:t>
            </w:r>
            <w:r w:rsidR="006356B6">
              <w:rPr>
                <w:rFonts w:asciiTheme="minorHAnsi" w:hAnsiTheme="minorHAnsi" w:cstheme="minorHAnsi"/>
                <w:color w:val="000000"/>
                <w:shd w:val="clear" w:color="auto" w:fill="FFFFFF"/>
              </w:rPr>
              <w:t xml:space="preserve"> reduction of</w:t>
            </w:r>
            <w:r w:rsidRPr="00603BB0">
              <w:rPr>
                <w:rFonts w:asciiTheme="minorHAnsi" w:hAnsiTheme="minorHAnsi" w:cstheme="minorHAnsi"/>
                <w:color w:val="000000"/>
                <w:shd w:val="clear" w:color="auto" w:fill="FFFFFF"/>
              </w:rPr>
              <w:t xml:space="preserve"> </w:t>
            </w:r>
            <w:r w:rsidR="003E6FDF">
              <w:rPr>
                <w:rFonts w:asciiTheme="minorHAnsi" w:hAnsiTheme="minorHAnsi" w:cstheme="minorHAnsi"/>
                <w:color w:val="000000"/>
                <w:shd w:val="clear" w:color="auto" w:fill="FFFFFF"/>
              </w:rPr>
              <w:t>approximately 25</w:t>
            </w:r>
            <w:r w:rsidRPr="00603BB0">
              <w:rPr>
                <w:rFonts w:asciiTheme="minorHAnsi" w:hAnsiTheme="minorHAnsi" w:cstheme="minorHAnsi"/>
                <w:color w:val="000000"/>
                <w:shd w:val="clear" w:color="auto" w:fill="FFFFFF"/>
              </w:rPr>
              <w:t xml:space="preserve">% </w:t>
            </w:r>
            <w:r w:rsidR="003E6FDF">
              <w:rPr>
                <w:rFonts w:asciiTheme="minorHAnsi" w:hAnsiTheme="minorHAnsi" w:cstheme="minorHAnsi"/>
                <w:color w:val="000000"/>
                <w:shd w:val="clear" w:color="auto" w:fill="FFFFFF"/>
              </w:rPr>
              <w:t xml:space="preserve">in the </w:t>
            </w:r>
            <w:r w:rsidR="006356B6">
              <w:rPr>
                <w:rFonts w:asciiTheme="minorHAnsi" w:hAnsiTheme="minorHAnsi" w:cstheme="minorHAnsi"/>
                <w:color w:val="000000"/>
                <w:shd w:val="clear" w:color="auto" w:fill="FFFFFF"/>
              </w:rPr>
              <w:t xml:space="preserve">use of </w:t>
            </w:r>
            <w:r w:rsidRPr="00603BB0">
              <w:rPr>
                <w:rFonts w:asciiTheme="minorHAnsi" w:hAnsiTheme="minorHAnsi" w:cstheme="minorHAnsi"/>
                <w:color w:val="000000"/>
                <w:shd w:val="clear" w:color="auto" w:fill="FFFFFF"/>
              </w:rPr>
              <w:t>adjuvant chemo</w:t>
            </w:r>
            <w:r w:rsidR="00670E37">
              <w:rPr>
                <w:rFonts w:asciiTheme="minorHAnsi" w:hAnsiTheme="minorHAnsi" w:cstheme="minorHAnsi"/>
                <w:color w:val="000000"/>
                <w:shd w:val="clear" w:color="auto" w:fill="FFFFFF"/>
              </w:rPr>
              <w:t xml:space="preserve"> in the eligible population</w:t>
            </w:r>
            <w:r w:rsidRPr="00603BB0">
              <w:rPr>
                <w:rFonts w:asciiTheme="minorHAnsi" w:hAnsiTheme="minorHAnsi" w:cstheme="minorHAnsi"/>
                <w:color w:val="000000"/>
                <w:shd w:val="clear" w:color="auto" w:fill="FFFFFF"/>
              </w:rPr>
              <w:t xml:space="preserve">. </w:t>
            </w:r>
            <w:r w:rsidR="008B42FE">
              <w:rPr>
                <w:rFonts w:asciiTheme="minorHAnsi" w:hAnsiTheme="minorHAnsi" w:cstheme="minorHAnsi"/>
              </w:rPr>
              <w:t>Genomic</w:t>
            </w:r>
            <w:r w:rsidRPr="00603BB0">
              <w:rPr>
                <w:rFonts w:asciiTheme="minorHAnsi" w:hAnsiTheme="minorHAnsi" w:cstheme="minorHAnsi"/>
              </w:rPr>
              <w:t xml:space="preserve"> tests have been shown robustly to identify a </w:t>
            </w:r>
            <w:r w:rsidR="00C21E3F">
              <w:rPr>
                <w:rFonts w:asciiTheme="minorHAnsi" w:hAnsiTheme="minorHAnsi" w:cstheme="minorHAnsi"/>
              </w:rPr>
              <w:t>sub-</w:t>
            </w:r>
            <w:r w:rsidRPr="00603BB0">
              <w:rPr>
                <w:rFonts w:asciiTheme="minorHAnsi" w:hAnsiTheme="minorHAnsi" w:cstheme="minorHAnsi"/>
              </w:rPr>
              <w:t xml:space="preserve">group of </w:t>
            </w:r>
            <w:r w:rsidR="00C21E3F">
              <w:rPr>
                <w:rFonts w:asciiTheme="minorHAnsi" w:hAnsiTheme="minorHAnsi" w:cstheme="minorHAnsi"/>
              </w:rPr>
              <w:t xml:space="preserve">node negative </w:t>
            </w:r>
            <w:r w:rsidRPr="00603BB0">
              <w:rPr>
                <w:rFonts w:asciiTheme="minorHAnsi" w:hAnsiTheme="minorHAnsi" w:cstheme="minorHAnsi"/>
              </w:rPr>
              <w:t xml:space="preserve">patients with low risk of recurrence with endocrine therapy so this de-escalation in chemotherapy and </w:t>
            </w:r>
            <w:r w:rsidR="00072214">
              <w:rPr>
                <w:rFonts w:asciiTheme="minorHAnsi" w:hAnsiTheme="minorHAnsi" w:cstheme="minorHAnsi"/>
              </w:rPr>
              <w:t xml:space="preserve">hence reduction in </w:t>
            </w:r>
            <w:r w:rsidRPr="00603BB0">
              <w:rPr>
                <w:rFonts w:asciiTheme="minorHAnsi" w:hAnsiTheme="minorHAnsi" w:cstheme="minorHAnsi"/>
              </w:rPr>
              <w:t xml:space="preserve">excess toxicity has been done in a safe </w:t>
            </w:r>
            <w:r w:rsidR="00072214">
              <w:rPr>
                <w:rFonts w:asciiTheme="minorHAnsi" w:hAnsiTheme="minorHAnsi" w:cstheme="minorHAnsi"/>
              </w:rPr>
              <w:t>manner. I</w:t>
            </w:r>
            <w:r w:rsidRPr="00603BB0">
              <w:rPr>
                <w:rFonts w:asciiTheme="minorHAnsi" w:hAnsiTheme="minorHAnsi" w:cstheme="minorHAnsi"/>
              </w:rPr>
              <w:t xml:space="preserve">t is reasonable to assume that breast cancer mortality has not </w:t>
            </w:r>
            <w:r w:rsidR="008B42FE">
              <w:rPr>
                <w:rFonts w:asciiTheme="minorHAnsi" w:hAnsiTheme="minorHAnsi" w:cstheme="minorHAnsi"/>
              </w:rPr>
              <w:t xml:space="preserve">been </w:t>
            </w:r>
            <w:r w:rsidRPr="00603BB0">
              <w:rPr>
                <w:rFonts w:asciiTheme="minorHAnsi" w:hAnsiTheme="minorHAnsi" w:cstheme="minorHAnsi"/>
              </w:rPr>
              <w:t xml:space="preserve">compromised and that </w:t>
            </w:r>
            <w:r w:rsidR="00C01D99">
              <w:rPr>
                <w:rFonts w:asciiTheme="minorHAnsi" w:hAnsiTheme="minorHAnsi" w:cstheme="minorHAnsi"/>
              </w:rPr>
              <w:t xml:space="preserve">acute </w:t>
            </w:r>
            <w:r w:rsidRPr="00603BB0">
              <w:rPr>
                <w:rFonts w:asciiTheme="minorHAnsi" w:hAnsiTheme="minorHAnsi" w:cstheme="minorHAnsi"/>
              </w:rPr>
              <w:t>chemotherapy-related mortality</w:t>
            </w:r>
            <w:r w:rsidR="00C01D99">
              <w:rPr>
                <w:rFonts w:asciiTheme="minorHAnsi" w:hAnsiTheme="minorHAnsi" w:cstheme="minorHAnsi"/>
              </w:rPr>
              <w:t xml:space="preserve"> of approx. 0.25%</w:t>
            </w:r>
            <w:r w:rsidRPr="00603BB0">
              <w:rPr>
                <w:rFonts w:asciiTheme="minorHAnsi" w:hAnsiTheme="minorHAnsi" w:cstheme="minorHAnsi"/>
              </w:rPr>
              <w:t xml:space="preserve">, </w:t>
            </w:r>
            <w:r w:rsidR="00670E37">
              <w:rPr>
                <w:rFonts w:asciiTheme="minorHAnsi" w:hAnsiTheme="minorHAnsi" w:cstheme="minorHAnsi"/>
              </w:rPr>
              <w:t xml:space="preserve">acute </w:t>
            </w:r>
            <w:r w:rsidRPr="00603BB0">
              <w:rPr>
                <w:rFonts w:asciiTheme="minorHAnsi" w:hAnsiTheme="minorHAnsi" w:cstheme="minorHAnsi"/>
              </w:rPr>
              <w:t xml:space="preserve">chemotherapy-related admissions </w:t>
            </w:r>
            <w:r w:rsidR="00670E37">
              <w:rPr>
                <w:rFonts w:asciiTheme="minorHAnsi" w:hAnsiTheme="minorHAnsi" w:cstheme="minorHAnsi"/>
              </w:rPr>
              <w:t xml:space="preserve">affecting approximately 35% of breast cancer patients </w:t>
            </w:r>
            <w:r w:rsidR="00C01D99">
              <w:rPr>
                <w:rFonts w:asciiTheme="minorHAnsi" w:hAnsiTheme="minorHAnsi" w:cstheme="minorHAnsi"/>
              </w:rPr>
              <w:t xml:space="preserve">have been reduced </w:t>
            </w:r>
            <w:r w:rsidRPr="00603BB0">
              <w:rPr>
                <w:rFonts w:asciiTheme="minorHAnsi" w:hAnsiTheme="minorHAnsi" w:cstheme="minorHAnsi"/>
              </w:rPr>
              <w:t xml:space="preserve">and </w:t>
            </w:r>
            <w:r w:rsidR="00C01D99">
              <w:rPr>
                <w:rFonts w:asciiTheme="minorHAnsi" w:hAnsiTheme="minorHAnsi" w:cstheme="minorHAnsi"/>
              </w:rPr>
              <w:t xml:space="preserve">that </w:t>
            </w:r>
            <w:r w:rsidR="009E4F8E" w:rsidRPr="00603BB0">
              <w:rPr>
                <w:rFonts w:asciiTheme="minorHAnsi" w:hAnsiTheme="minorHAnsi" w:cstheme="minorHAnsi"/>
              </w:rPr>
              <w:t>long-term</w:t>
            </w:r>
            <w:r w:rsidRPr="00603BB0">
              <w:rPr>
                <w:rFonts w:asciiTheme="minorHAnsi" w:hAnsiTheme="minorHAnsi" w:cstheme="minorHAnsi"/>
              </w:rPr>
              <w:t xml:space="preserve"> morbidity </w:t>
            </w:r>
            <w:r w:rsidR="00C01D99">
              <w:rPr>
                <w:rFonts w:asciiTheme="minorHAnsi" w:hAnsiTheme="minorHAnsi" w:cstheme="minorHAnsi"/>
              </w:rPr>
              <w:t>and late excess mortality from chemotherapy will fall.</w:t>
            </w:r>
            <w:r w:rsidR="00F520B3">
              <w:rPr>
                <w:rFonts w:asciiTheme="minorHAnsi" w:hAnsiTheme="minorHAnsi" w:cstheme="minorHAnsi"/>
              </w:rPr>
              <w:t xml:space="preserve"> </w:t>
            </w:r>
            <w:r w:rsidR="008B42FE">
              <w:rPr>
                <w:rFonts w:asciiTheme="minorHAnsi" w:hAnsiTheme="minorHAnsi" w:cstheme="minorHAnsi"/>
              </w:rPr>
              <w:t xml:space="preserve">The MINDACT study also demonstrated safety in de-escalating low risk patients in a randomised trial setting. </w:t>
            </w:r>
            <w:r w:rsidRPr="00603BB0">
              <w:rPr>
                <w:rFonts w:asciiTheme="minorHAnsi" w:hAnsiTheme="minorHAnsi" w:cstheme="minorHAnsi"/>
              </w:rPr>
              <w:t xml:space="preserve">We have had access to prognostic tools for many years, namely ‘Adjuvant! Online’ in the past and currently ‘PREDICT’. However, prior to genomic tests clinicians clearly struggled to recommend no chemotherapy in ‘intermediate’ risk patients. </w:t>
            </w:r>
          </w:p>
        </w:tc>
      </w:tr>
      <w:tr w:rsidR="005A482A" w:rsidRPr="001B0995" w14:paraId="46FD4C1A" w14:textId="77777777" w:rsidTr="005A482A">
        <w:trPr>
          <w:trHeight w:val="470"/>
        </w:trPr>
        <w:tc>
          <w:tcPr>
            <w:tcW w:w="1418" w:type="dxa"/>
          </w:tcPr>
          <w:p w14:paraId="41158DE0" w14:textId="77777777" w:rsidR="005A482A" w:rsidRPr="00BE31DF" w:rsidRDefault="00153B12" w:rsidP="00BE31DF">
            <w:pPr>
              <w:rPr>
                <w:rFonts w:ascii="Arial" w:hAnsi="Arial" w:cs="Arial"/>
                <w:sz w:val="22"/>
                <w:szCs w:val="22"/>
              </w:rPr>
            </w:pPr>
            <w:r>
              <w:rPr>
                <w:rFonts w:ascii="Arial" w:hAnsi="Arial" w:cs="Arial"/>
                <w:sz w:val="22"/>
                <w:szCs w:val="22"/>
              </w:rPr>
              <w:t>2</w:t>
            </w:r>
          </w:p>
        </w:tc>
        <w:tc>
          <w:tcPr>
            <w:tcW w:w="2410" w:type="dxa"/>
          </w:tcPr>
          <w:p w14:paraId="72F0B166" w14:textId="77777777" w:rsidR="005A482A" w:rsidRPr="00BE31DF" w:rsidRDefault="006356B6" w:rsidP="00BE31DF">
            <w:pPr>
              <w:rPr>
                <w:rFonts w:ascii="Arial" w:hAnsi="Arial" w:cs="Arial"/>
                <w:sz w:val="22"/>
                <w:szCs w:val="22"/>
              </w:rPr>
            </w:pPr>
            <w:r>
              <w:rPr>
                <w:rFonts w:ascii="Arial" w:hAnsi="Arial" w:cs="Arial"/>
                <w:sz w:val="22"/>
                <w:szCs w:val="22"/>
              </w:rPr>
              <w:t>5.1</w:t>
            </w:r>
          </w:p>
        </w:tc>
        <w:tc>
          <w:tcPr>
            <w:tcW w:w="10489" w:type="dxa"/>
          </w:tcPr>
          <w:p w14:paraId="16D28CE5" w14:textId="77777777" w:rsidR="00603BB0" w:rsidRPr="00603BB0" w:rsidRDefault="00603BB0" w:rsidP="00603BB0">
            <w:pPr>
              <w:pStyle w:val="ListParagraph"/>
              <w:spacing w:before="0" w:after="160"/>
              <w:jc w:val="both"/>
              <w:rPr>
                <w:rFonts w:asciiTheme="minorHAnsi" w:hAnsiTheme="minorHAnsi" w:cstheme="minorHAnsi"/>
              </w:rPr>
            </w:pPr>
            <w:r w:rsidRPr="00603BB0">
              <w:rPr>
                <w:rFonts w:asciiTheme="minorHAnsi" w:hAnsiTheme="minorHAnsi" w:cstheme="minorHAnsi"/>
              </w:rPr>
              <w:t xml:space="preserve">If we revert to an era of more chemotherapy-giving, we will encounter capacity issues in already stretched chemotherapy units. </w:t>
            </w:r>
            <w:r w:rsidR="008B42FE">
              <w:rPr>
                <w:rFonts w:asciiTheme="minorHAnsi" w:hAnsiTheme="minorHAnsi" w:cstheme="minorHAnsi"/>
              </w:rPr>
              <w:t xml:space="preserve">This has not been factored in. </w:t>
            </w:r>
          </w:p>
          <w:p w14:paraId="2673E3F7" w14:textId="77777777" w:rsidR="005A482A" w:rsidRPr="00603BB0" w:rsidRDefault="005A482A" w:rsidP="00BE31DF">
            <w:pPr>
              <w:rPr>
                <w:rFonts w:asciiTheme="minorHAnsi" w:hAnsiTheme="minorHAnsi" w:cstheme="minorHAnsi"/>
                <w:sz w:val="22"/>
                <w:szCs w:val="22"/>
              </w:rPr>
            </w:pPr>
          </w:p>
        </w:tc>
      </w:tr>
      <w:tr w:rsidR="005A482A" w:rsidRPr="001B0995" w14:paraId="62F8190C" w14:textId="77777777" w:rsidTr="005A482A">
        <w:trPr>
          <w:trHeight w:val="470"/>
        </w:trPr>
        <w:tc>
          <w:tcPr>
            <w:tcW w:w="1418" w:type="dxa"/>
          </w:tcPr>
          <w:p w14:paraId="7E5D6552" w14:textId="77777777" w:rsidR="005A482A" w:rsidRPr="00BE31DF" w:rsidRDefault="006356B6" w:rsidP="00BE31DF">
            <w:pPr>
              <w:rPr>
                <w:rFonts w:ascii="Arial" w:hAnsi="Arial" w:cs="Arial"/>
                <w:sz w:val="22"/>
                <w:szCs w:val="22"/>
              </w:rPr>
            </w:pPr>
            <w:r>
              <w:rPr>
                <w:rFonts w:ascii="Arial" w:hAnsi="Arial" w:cs="Arial"/>
                <w:sz w:val="22"/>
                <w:szCs w:val="22"/>
              </w:rPr>
              <w:lastRenderedPageBreak/>
              <w:t>3</w:t>
            </w:r>
          </w:p>
        </w:tc>
        <w:tc>
          <w:tcPr>
            <w:tcW w:w="2410" w:type="dxa"/>
          </w:tcPr>
          <w:p w14:paraId="6004FFDC" w14:textId="77777777" w:rsidR="005A482A" w:rsidRPr="00BE31DF" w:rsidRDefault="00670E37" w:rsidP="00BE31DF">
            <w:pPr>
              <w:rPr>
                <w:rFonts w:ascii="Arial" w:hAnsi="Arial" w:cs="Arial"/>
                <w:sz w:val="22"/>
                <w:szCs w:val="22"/>
              </w:rPr>
            </w:pPr>
            <w:r>
              <w:rPr>
                <w:rFonts w:ascii="Arial" w:hAnsi="Arial" w:cs="Arial"/>
                <w:sz w:val="22"/>
                <w:szCs w:val="22"/>
              </w:rPr>
              <w:t>5.1</w:t>
            </w:r>
          </w:p>
        </w:tc>
        <w:tc>
          <w:tcPr>
            <w:tcW w:w="10489" w:type="dxa"/>
          </w:tcPr>
          <w:p w14:paraId="206E0733" w14:textId="2C0D670E" w:rsidR="00C21E3F" w:rsidRPr="008B42FE" w:rsidRDefault="00603BB0" w:rsidP="00603BB0">
            <w:pPr>
              <w:pStyle w:val="ListParagraph"/>
              <w:spacing w:before="0" w:after="160"/>
              <w:jc w:val="both"/>
              <w:rPr>
                <w:rFonts w:asciiTheme="minorHAnsi" w:hAnsiTheme="minorHAnsi" w:cstheme="minorHAnsi"/>
              </w:rPr>
            </w:pPr>
            <w:r w:rsidRPr="008B42FE">
              <w:rPr>
                <w:rFonts w:asciiTheme="minorHAnsi" w:hAnsiTheme="minorHAnsi" w:cstheme="minorHAnsi"/>
                <w:color w:val="000000"/>
                <w:shd w:val="clear" w:color="auto" w:fill="FFFFFF"/>
              </w:rPr>
              <w:t>Most major guideline producing groups now recommend these assays</w:t>
            </w:r>
            <w:r w:rsidR="006356B6">
              <w:rPr>
                <w:rFonts w:asciiTheme="minorHAnsi" w:hAnsiTheme="minorHAnsi" w:cstheme="minorHAnsi"/>
                <w:color w:val="000000"/>
                <w:shd w:val="clear" w:color="auto" w:fill="FFFFFF"/>
              </w:rPr>
              <w:t xml:space="preserve"> in the node-negative population</w:t>
            </w:r>
            <w:r w:rsidRPr="008B42FE">
              <w:rPr>
                <w:rFonts w:asciiTheme="minorHAnsi" w:hAnsiTheme="minorHAnsi" w:cstheme="minorHAnsi"/>
                <w:color w:val="000000"/>
                <w:shd w:val="clear" w:color="auto" w:fill="FFFFFF"/>
              </w:rPr>
              <w:t xml:space="preserve">, including NCCN, St Gallen, ASCO, ESMO. The decision will result in a return to NHS patients self-paying for the test </w:t>
            </w:r>
            <w:r w:rsidR="009E4F8E">
              <w:rPr>
                <w:rFonts w:asciiTheme="minorHAnsi" w:hAnsiTheme="minorHAnsi" w:cstheme="minorHAnsi"/>
                <w:color w:val="000000"/>
                <w:shd w:val="clear" w:color="auto" w:fill="FFFFFF"/>
              </w:rPr>
              <w:t>creating</w:t>
            </w:r>
            <w:r w:rsidR="009E4F8E" w:rsidRPr="008B42FE">
              <w:rPr>
                <w:rFonts w:asciiTheme="minorHAnsi" w:hAnsiTheme="minorHAnsi" w:cstheme="minorHAnsi"/>
                <w:color w:val="000000"/>
                <w:shd w:val="clear" w:color="auto" w:fill="FFFFFF"/>
              </w:rPr>
              <w:t xml:space="preserve"> </w:t>
            </w:r>
            <w:r w:rsidRPr="008B42FE">
              <w:rPr>
                <w:rFonts w:asciiTheme="minorHAnsi" w:hAnsiTheme="minorHAnsi" w:cstheme="minorHAnsi"/>
                <w:color w:val="000000"/>
                <w:shd w:val="clear" w:color="auto" w:fill="FFFFFF"/>
              </w:rPr>
              <w:t>a two-t</w:t>
            </w:r>
            <w:r w:rsidR="008B42FE" w:rsidRPr="008B42FE">
              <w:rPr>
                <w:rFonts w:asciiTheme="minorHAnsi" w:hAnsiTheme="minorHAnsi" w:cstheme="minorHAnsi"/>
                <w:color w:val="000000"/>
                <w:shd w:val="clear" w:color="auto" w:fill="FFFFFF"/>
              </w:rPr>
              <w:t>ier</w:t>
            </w:r>
            <w:r w:rsidRPr="008B42FE">
              <w:rPr>
                <w:rFonts w:asciiTheme="minorHAnsi" w:hAnsiTheme="minorHAnsi" w:cstheme="minorHAnsi"/>
                <w:color w:val="000000"/>
                <w:shd w:val="clear" w:color="auto" w:fill="FFFFFF"/>
              </w:rPr>
              <w:t xml:space="preserve"> </w:t>
            </w:r>
            <w:r w:rsidR="009E4F8E">
              <w:rPr>
                <w:rFonts w:asciiTheme="minorHAnsi" w:hAnsiTheme="minorHAnsi" w:cstheme="minorHAnsi"/>
                <w:color w:val="000000"/>
                <w:shd w:val="clear" w:color="auto" w:fill="FFFFFF"/>
              </w:rPr>
              <w:t>system</w:t>
            </w:r>
            <w:r w:rsidRPr="008B42FE">
              <w:rPr>
                <w:rFonts w:asciiTheme="minorHAnsi" w:hAnsiTheme="minorHAnsi" w:cstheme="minorHAnsi"/>
                <w:color w:val="000000"/>
                <w:shd w:val="clear" w:color="auto" w:fill="FFFFFF"/>
              </w:rPr>
              <w:t xml:space="preserve">. </w:t>
            </w:r>
          </w:p>
          <w:p w14:paraId="3816EFBE" w14:textId="77777777" w:rsidR="005A482A" w:rsidRPr="008B42FE" w:rsidRDefault="005A482A" w:rsidP="00BE31DF">
            <w:pPr>
              <w:rPr>
                <w:rFonts w:asciiTheme="minorHAnsi" w:hAnsiTheme="minorHAnsi" w:cstheme="minorHAnsi"/>
                <w:sz w:val="22"/>
                <w:szCs w:val="22"/>
              </w:rPr>
            </w:pPr>
          </w:p>
        </w:tc>
      </w:tr>
      <w:tr w:rsidR="00C21E3F" w:rsidRPr="001B0995" w14:paraId="05C6F06B" w14:textId="77777777" w:rsidTr="005A482A">
        <w:trPr>
          <w:trHeight w:val="470"/>
        </w:trPr>
        <w:tc>
          <w:tcPr>
            <w:tcW w:w="1418" w:type="dxa"/>
          </w:tcPr>
          <w:p w14:paraId="62E5D712" w14:textId="19374DBE" w:rsidR="00C21E3F" w:rsidRPr="00BE31DF" w:rsidRDefault="006356B6" w:rsidP="00BE31DF">
            <w:pPr>
              <w:rPr>
                <w:rFonts w:ascii="Arial" w:hAnsi="Arial" w:cs="Arial"/>
                <w:sz w:val="22"/>
                <w:szCs w:val="22"/>
              </w:rPr>
            </w:pPr>
            <w:r>
              <w:rPr>
                <w:rFonts w:ascii="Arial" w:hAnsi="Arial" w:cs="Arial"/>
                <w:sz w:val="22"/>
                <w:szCs w:val="22"/>
              </w:rPr>
              <w:t>4</w:t>
            </w:r>
          </w:p>
        </w:tc>
        <w:tc>
          <w:tcPr>
            <w:tcW w:w="2410" w:type="dxa"/>
          </w:tcPr>
          <w:p w14:paraId="2678B518" w14:textId="77777777" w:rsidR="00C21E3F" w:rsidRDefault="00E01CE2" w:rsidP="00BE31DF">
            <w:pPr>
              <w:rPr>
                <w:rFonts w:ascii="Arial" w:hAnsi="Arial" w:cs="Arial"/>
                <w:sz w:val="22"/>
                <w:szCs w:val="22"/>
              </w:rPr>
            </w:pPr>
            <w:r>
              <w:rPr>
                <w:rFonts w:ascii="Arial" w:hAnsi="Arial" w:cs="Arial"/>
                <w:sz w:val="22"/>
                <w:szCs w:val="22"/>
              </w:rPr>
              <w:t>4.47</w:t>
            </w:r>
          </w:p>
          <w:p w14:paraId="7FC80E3D" w14:textId="77777777" w:rsidR="00153B12" w:rsidRPr="00BE31DF" w:rsidRDefault="00153B12" w:rsidP="00BE31DF">
            <w:pPr>
              <w:rPr>
                <w:rFonts w:ascii="Arial" w:hAnsi="Arial" w:cs="Arial"/>
                <w:sz w:val="22"/>
                <w:szCs w:val="22"/>
              </w:rPr>
            </w:pPr>
            <w:r>
              <w:rPr>
                <w:rFonts w:ascii="Arial" w:hAnsi="Arial" w:cs="Arial"/>
                <w:sz w:val="22"/>
                <w:szCs w:val="22"/>
              </w:rPr>
              <w:t>5.8</w:t>
            </w:r>
          </w:p>
        </w:tc>
        <w:tc>
          <w:tcPr>
            <w:tcW w:w="10489" w:type="dxa"/>
          </w:tcPr>
          <w:p w14:paraId="38D74707" w14:textId="77777777" w:rsidR="008B42FE" w:rsidRPr="002A6B4A" w:rsidRDefault="00C21E3F" w:rsidP="008B42FE">
            <w:pPr>
              <w:pStyle w:val="ListParagraph"/>
              <w:spacing w:before="0" w:after="160"/>
              <w:jc w:val="both"/>
              <w:rPr>
                <w:rFonts w:asciiTheme="minorHAnsi" w:hAnsiTheme="minorHAnsi" w:cstheme="minorHAnsi"/>
                <w:color w:val="000000"/>
                <w:shd w:val="clear" w:color="auto" w:fill="FFFFFF"/>
              </w:rPr>
            </w:pPr>
            <w:r w:rsidRPr="002A6B4A">
              <w:rPr>
                <w:rFonts w:asciiTheme="minorHAnsi" w:hAnsiTheme="minorHAnsi" w:cstheme="minorHAnsi"/>
                <w:color w:val="000000"/>
                <w:shd w:val="clear" w:color="auto" w:fill="FFFFFF"/>
              </w:rPr>
              <w:t xml:space="preserve">The modelling used the TransATAC data which </w:t>
            </w:r>
            <w:r w:rsidR="00072214" w:rsidRPr="002A6B4A">
              <w:rPr>
                <w:rFonts w:asciiTheme="minorHAnsi" w:hAnsiTheme="minorHAnsi" w:cstheme="minorHAnsi"/>
                <w:color w:val="000000"/>
                <w:shd w:val="clear" w:color="auto" w:fill="FFFFFF"/>
              </w:rPr>
              <w:t>is a small data set. Based on this study, it</w:t>
            </w:r>
            <w:r w:rsidRPr="002A6B4A">
              <w:rPr>
                <w:rFonts w:asciiTheme="minorHAnsi" w:hAnsiTheme="minorHAnsi" w:cstheme="minorHAnsi"/>
                <w:color w:val="000000"/>
                <w:shd w:val="clear" w:color="auto" w:fill="FFFFFF"/>
              </w:rPr>
              <w:t xml:space="preserve"> assumes a 15% recurrence at 10yrs for all risk categories. </w:t>
            </w:r>
            <w:r w:rsidR="008B42FE" w:rsidRPr="002A6B4A">
              <w:rPr>
                <w:rFonts w:asciiTheme="minorHAnsi" w:hAnsiTheme="minorHAnsi" w:cstheme="minorHAnsi"/>
                <w:color w:val="000000"/>
                <w:shd w:val="clear" w:color="auto" w:fill="FFFFFF"/>
              </w:rPr>
              <w:t xml:space="preserve">This seems flawed. </w:t>
            </w:r>
          </w:p>
          <w:p w14:paraId="35CC9D9A" w14:textId="77777777" w:rsidR="00C21E3F" w:rsidRPr="002A6B4A" w:rsidRDefault="00C21E3F" w:rsidP="008B42FE">
            <w:pPr>
              <w:pStyle w:val="ListParagraph"/>
              <w:spacing w:before="0" w:after="160"/>
              <w:jc w:val="both"/>
              <w:rPr>
                <w:rFonts w:asciiTheme="minorHAnsi" w:hAnsiTheme="minorHAnsi" w:cstheme="minorHAnsi"/>
                <w:color w:val="000000"/>
                <w:shd w:val="clear" w:color="auto" w:fill="FFFFFF"/>
              </w:rPr>
            </w:pPr>
          </w:p>
        </w:tc>
      </w:tr>
      <w:tr w:rsidR="00C21E3F" w:rsidRPr="001B0995" w14:paraId="4747256E" w14:textId="77777777" w:rsidTr="005A482A">
        <w:trPr>
          <w:trHeight w:val="470"/>
        </w:trPr>
        <w:tc>
          <w:tcPr>
            <w:tcW w:w="1418" w:type="dxa"/>
          </w:tcPr>
          <w:p w14:paraId="3C01F9AF" w14:textId="2C0EEC93" w:rsidR="00C21E3F" w:rsidRPr="00BE31DF" w:rsidRDefault="009E4F8E" w:rsidP="00BE31DF">
            <w:pPr>
              <w:rPr>
                <w:rFonts w:ascii="Arial" w:hAnsi="Arial" w:cs="Arial"/>
                <w:sz w:val="22"/>
                <w:szCs w:val="22"/>
              </w:rPr>
            </w:pPr>
            <w:r>
              <w:rPr>
                <w:rFonts w:ascii="Arial" w:hAnsi="Arial" w:cs="Arial"/>
                <w:sz w:val="22"/>
                <w:szCs w:val="22"/>
              </w:rPr>
              <w:t>5</w:t>
            </w:r>
          </w:p>
        </w:tc>
        <w:tc>
          <w:tcPr>
            <w:tcW w:w="2410" w:type="dxa"/>
          </w:tcPr>
          <w:p w14:paraId="32D48CFC" w14:textId="77777777" w:rsidR="00C21E3F" w:rsidRPr="00BE31DF" w:rsidRDefault="006356B6" w:rsidP="00BE31DF">
            <w:pPr>
              <w:rPr>
                <w:rFonts w:ascii="Arial" w:hAnsi="Arial" w:cs="Arial"/>
                <w:sz w:val="22"/>
                <w:szCs w:val="22"/>
              </w:rPr>
            </w:pPr>
            <w:r>
              <w:rPr>
                <w:rFonts w:ascii="Arial" w:hAnsi="Arial" w:cs="Arial"/>
                <w:sz w:val="22"/>
                <w:szCs w:val="22"/>
              </w:rPr>
              <w:t>4.5</w:t>
            </w:r>
            <w:r w:rsidR="009E4F8E">
              <w:rPr>
                <w:rFonts w:ascii="Arial" w:hAnsi="Arial" w:cs="Arial"/>
                <w:sz w:val="22"/>
                <w:szCs w:val="22"/>
              </w:rPr>
              <w:t>2</w:t>
            </w:r>
          </w:p>
        </w:tc>
        <w:tc>
          <w:tcPr>
            <w:tcW w:w="10489" w:type="dxa"/>
          </w:tcPr>
          <w:p w14:paraId="1F31744B" w14:textId="68CBC27E" w:rsidR="00C21E3F" w:rsidRPr="002A6B4A" w:rsidRDefault="00C01D99" w:rsidP="002A6B4A">
            <w:pPr>
              <w:pStyle w:val="ListParagraph"/>
              <w:spacing w:before="0" w:after="16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Long term toxicities </w:t>
            </w:r>
            <w:r w:rsidR="008B42FE" w:rsidRPr="002A6B4A">
              <w:rPr>
                <w:rFonts w:asciiTheme="minorHAnsi" w:hAnsiTheme="minorHAnsi" w:cstheme="minorHAnsi"/>
                <w:color w:val="000000"/>
                <w:shd w:val="clear" w:color="auto" w:fill="FFFFFF"/>
              </w:rPr>
              <w:t>other than AML have not been factored in</w:t>
            </w:r>
            <w:r w:rsidR="0082384D">
              <w:rPr>
                <w:rFonts w:asciiTheme="minorHAnsi" w:hAnsiTheme="minorHAnsi" w:cstheme="minorHAnsi"/>
                <w:color w:val="000000"/>
                <w:shd w:val="clear" w:color="auto" w:fill="FFFFFF"/>
              </w:rPr>
              <w:t>to the economic model. I</w:t>
            </w:r>
            <w:r w:rsidR="008B42FE" w:rsidRPr="002A6B4A">
              <w:rPr>
                <w:rFonts w:asciiTheme="minorHAnsi" w:hAnsiTheme="minorHAnsi" w:cstheme="minorHAnsi"/>
                <w:color w:val="000000"/>
                <w:shd w:val="clear" w:color="auto" w:fill="FFFFFF"/>
              </w:rPr>
              <w:t>nfertility, early menopause, peripheral neuropathy</w:t>
            </w:r>
            <w:r w:rsidR="0082384D">
              <w:rPr>
                <w:rFonts w:asciiTheme="minorHAnsi" w:hAnsiTheme="minorHAnsi" w:cstheme="minorHAnsi"/>
                <w:color w:val="000000"/>
                <w:shd w:val="clear" w:color="auto" w:fill="FFFFFF"/>
              </w:rPr>
              <w:t xml:space="preserve"> and occasional</w:t>
            </w:r>
            <w:r w:rsidR="008B42FE" w:rsidRPr="002A6B4A">
              <w:rPr>
                <w:rFonts w:asciiTheme="minorHAnsi" w:hAnsiTheme="minorHAnsi" w:cstheme="minorHAnsi"/>
                <w:color w:val="000000"/>
                <w:shd w:val="clear" w:color="auto" w:fill="FFFFFF"/>
              </w:rPr>
              <w:t xml:space="preserve"> permanent hair loss</w:t>
            </w:r>
            <w:r w:rsidR="0082384D">
              <w:rPr>
                <w:rFonts w:asciiTheme="minorHAnsi" w:hAnsiTheme="minorHAnsi" w:cstheme="minorHAnsi"/>
                <w:color w:val="000000"/>
                <w:shd w:val="clear" w:color="auto" w:fill="FFFFFF"/>
              </w:rPr>
              <w:t xml:space="preserve"> are all commonly encountered in clinical practice. Chronic fatigue has been reported in up to 25% of patients</w:t>
            </w:r>
            <w:r w:rsidR="008B42FE" w:rsidRPr="002A6B4A">
              <w:rPr>
                <w:rFonts w:asciiTheme="minorHAnsi" w:hAnsiTheme="minorHAnsi" w:cstheme="minorHAnsi"/>
                <w:color w:val="000000"/>
                <w:shd w:val="clear" w:color="auto" w:fill="FFFFFF"/>
              </w:rPr>
              <w:t>.</w:t>
            </w:r>
            <w:r w:rsidR="006356B6">
              <w:rPr>
                <w:rFonts w:asciiTheme="minorHAnsi" w:hAnsiTheme="minorHAnsi" w:cstheme="minorHAnsi"/>
                <w:color w:val="000000"/>
                <w:shd w:val="clear" w:color="auto" w:fill="FFFFFF"/>
              </w:rPr>
              <w:t xml:space="preserve"> Cardiac toxicity (heart failure) arising from anthracycline use is a particular concern</w:t>
            </w:r>
            <w:r w:rsidR="0082384D">
              <w:rPr>
                <w:rFonts w:asciiTheme="minorHAnsi" w:hAnsiTheme="minorHAnsi" w:cstheme="minorHAnsi"/>
                <w:color w:val="000000"/>
                <w:shd w:val="clear" w:color="auto" w:fill="FFFFFF"/>
              </w:rPr>
              <w:t xml:space="preserve"> with report</w:t>
            </w:r>
            <w:r w:rsidR="009E4F8E">
              <w:rPr>
                <w:rFonts w:asciiTheme="minorHAnsi" w:hAnsiTheme="minorHAnsi" w:cstheme="minorHAnsi"/>
                <w:color w:val="000000"/>
                <w:shd w:val="clear" w:color="auto" w:fill="FFFFFF"/>
              </w:rPr>
              <w:t>ed excess mortality of 0.5-1.5%</w:t>
            </w:r>
            <w:r w:rsidR="00670E37">
              <w:rPr>
                <w:rFonts w:asciiTheme="minorHAnsi" w:hAnsiTheme="minorHAnsi" w:cstheme="minorHAnsi"/>
                <w:color w:val="000000"/>
                <w:shd w:val="clear" w:color="auto" w:fill="FFFFFF"/>
              </w:rPr>
              <w:t>.</w:t>
            </w:r>
          </w:p>
        </w:tc>
      </w:tr>
      <w:tr w:rsidR="00C21E3F" w:rsidRPr="001B0995" w14:paraId="49CAC0D5" w14:textId="77777777" w:rsidTr="005A482A">
        <w:trPr>
          <w:trHeight w:val="470"/>
        </w:trPr>
        <w:tc>
          <w:tcPr>
            <w:tcW w:w="1418" w:type="dxa"/>
          </w:tcPr>
          <w:p w14:paraId="0F73D20B" w14:textId="77777777" w:rsidR="00C21E3F" w:rsidRPr="00BE31DF" w:rsidRDefault="00C21E3F" w:rsidP="00BE31DF">
            <w:pPr>
              <w:rPr>
                <w:rFonts w:ascii="Arial" w:hAnsi="Arial" w:cs="Arial"/>
                <w:sz w:val="22"/>
                <w:szCs w:val="22"/>
              </w:rPr>
            </w:pPr>
          </w:p>
        </w:tc>
        <w:tc>
          <w:tcPr>
            <w:tcW w:w="2410" w:type="dxa"/>
          </w:tcPr>
          <w:p w14:paraId="694DA4BE" w14:textId="77777777" w:rsidR="00C21E3F" w:rsidRPr="00BE31DF" w:rsidRDefault="00C21E3F" w:rsidP="00BE31DF">
            <w:pPr>
              <w:rPr>
                <w:rFonts w:ascii="Arial" w:hAnsi="Arial" w:cs="Arial"/>
                <w:sz w:val="22"/>
                <w:szCs w:val="22"/>
              </w:rPr>
            </w:pPr>
          </w:p>
        </w:tc>
        <w:tc>
          <w:tcPr>
            <w:tcW w:w="10489" w:type="dxa"/>
          </w:tcPr>
          <w:p w14:paraId="62B6086E" w14:textId="2B810E18" w:rsidR="00072214" w:rsidRDefault="00072214" w:rsidP="00072214">
            <w:pPr>
              <w:pStyle w:val="ListParagraph"/>
              <w:spacing w:before="0" w:after="160"/>
              <w:jc w:val="both"/>
              <w:rPr>
                <w:rFonts w:asciiTheme="minorHAnsi" w:hAnsiTheme="minorHAnsi" w:cstheme="minorHAnsi"/>
                <w:color w:val="000000"/>
                <w:shd w:val="clear" w:color="auto" w:fill="FFFFFF"/>
              </w:rPr>
            </w:pPr>
            <w:r w:rsidRPr="008B42FE">
              <w:rPr>
                <w:rFonts w:asciiTheme="minorHAnsi" w:hAnsiTheme="minorHAnsi" w:cstheme="minorHAnsi"/>
                <w:color w:val="000000"/>
                <w:shd w:val="clear" w:color="auto" w:fill="FFFFFF"/>
              </w:rPr>
              <w:t>In a survey</w:t>
            </w:r>
            <w:r w:rsidR="002A6B4A">
              <w:rPr>
                <w:rFonts w:asciiTheme="minorHAnsi" w:hAnsiTheme="minorHAnsi" w:cstheme="minorHAnsi"/>
                <w:color w:val="000000"/>
                <w:shd w:val="clear" w:color="auto" w:fill="FFFFFF"/>
              </w:rPr>
              <w:t>*</w:t>
            </w:r>
            <w:r w:rsidRPr="008B42FE">
              <w:rPr>
                <w:rFonts w:asciiTheme="minorHAnsi" w:hAnsiTheme="minorHAnsi" w:cstheme="minorHAnsi"/>
                <w:color w:val="000000"/>
                <w:shd w:val="clear" w:color="auto" w:fill="FFFFFF"/>
              </w:rPr>
              <w:t xml:space="preserve"> to breast Oncologists undertaken by UKBCG open over just 48 hours, of </w:t>
            </w:r>
            <w:r w:rsidR="007B01CA">
              <w:rPr>
                <w:rFonts w:asciiTheme="minorHAnsi" w:hAnsiTheme="minorHAnsi" w:cstheme="minorHAnsi"/>
                <w:color w:val="000000"/>
                <w:shd w:val="clear" w:color="auto" w:fill="FFFFFF"/>
              </w:rPr>
              <w:t>75</w:t>
            </w:r>
            <w:r w:rsidRPr="008B42FE">
              <w:rPr>
                <w:rFonts w:asciiTheme="minorHAnsi" w:hAnsiTheme="minorHAnsi" w:cstheme="minorHAnsi"/>
                <w:color w:val="000000"/>
                <w:shd w:val="clear" w:color="auto" w:fill="FFFFFF"/>
              </w:rPr>
              <w:t xml:space="preserve"> responses, 100% reported using Oncotype regularly in their NHS practice and 100% supported its continuing use</w:t>
            </w:r>
            <w:r>
              <w:rPr>
                <w:rFonts w:asciiTheme="minorHAnsi" w:hAnsiTheme="minorHAnsi" w:cstheme="minorHAnsi"/>
                <w:color w:val="000000"/>
                <w:shd w:val="clear" w:color="auto" w:fill="FFFFFF"/>
              </w:rPr>
              <w:t xml:space="preserve"> in node negative disease</w:t>
            </w:r>
            <w:r w:rsidRPr="008B42F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This is an indication of the strength of feeling amongst Breast Oncologists in the UK towards securing continued access to these assays in the setting of node positive disease.</w:t>
            </w:r>
          </w:p>
          <w:p w14:paraId="7C6E4404" w14:textId="65F3E3D2" w:rsidR="002A6B4A" w:rsidRPr="008B42FE" w:rsidRDefault="002A6B4A" w:rsidP="00072214">
            <w:pPr>
              <w:pStyle w:val="ListParagraph"/>
              <w:spacing w:before="0" w:after="16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*The survey was distributed by email to 200 members of UKBCG (breast oncologists) with a 3</w:t>
            </w:r>
            <w:r w:rsidR="007B01CA">
              <w:rPr>
                <w:rFonts w:asciiTheme="minorHAnsi" w:hAnsiTheme="minorHAnsi" w:cstheme="minorHAnsi"/>
                <w:color w:val="000000"/>
                <w:shd w:val="clear" w:color="auto" w:fill="FFFFFF"/>
              </w:rPr>
              <w:t>7</w:t>
            </w:r>
            <w:r>
              <w:rPr>
                <w:rFonts w:asciiTheme="minorHAnsi" w:hAnsiTheme="minorHAnsi" w:cstheme="minorHAnsi"/>
                <w:color w:val="000000"/>
                <w:shd w:val="clear" w:color="auto" w:fill="FFFFFF"/>
              </w:rPr>
              <w:t>.5% response rate in 48 hours.</w:t>
            </w:r>
          </w:p>
          <w:p w14:paraId="2D344869" w14:textId="77777777" w:rsidR="00C21E3F" w:rsidRPr="00BE31DF" w:rsidRDefault="00C21E3F" w:rsidP="00BE31DF">
            <w:pPr>
              <w:rPr>
                <w:rFonts w:ascii="Arial" w:hAnsi="Arial" w:cs="Arial"/>
                <w:sz w:val="22"/>
                <w:szCs w:val="22"/>
              </w:rPr>
            </w:pPr>
          </w:p>
        </w:tc>
      </w:tr>
    </w:tbl>
    <w:p w14:paraId="35ADFC03" w14:textId="77777777" w:rsidR="001D1639" w:rsidRPr="005A482A" w:rsidRDefault="005A482A" w:rsidP="005A482A">
      <w:pPr>
        <w:pStyle w:val="Paragraph"/>
        <w:numPr>
          <w:ilvl w:val="0"/>
          <w:numId w:val="0"/>
        </w:numPr>
        <w:rPr>
          <w:b/>
          <w:sz w:val="22"/>
          <w:szCs w:val="22"/>
        </w:rPr>
      </w:pPr>
      <w:r>
        <w:rPr>
          <w:b/>
          <w:sz w:val="22"/>
          <w:szCs w:val="22"/>
        </w:rPr>
        <w:t>Please add further rows as required</w:t>
      </w:r>
    </w:p>
    <w:sectPr w:rsidR="001D1639" w:rsidRPr="005A482A" w:rsidSect="001B0995">
      <w:headerReference w:type="default" r:id="rId8"/>
      <w:footerReference w:type="default" r:id="rId9"/>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6A46" w14:textId="77777777" w:rsidR="00E80B9C" w:rsidRDefault="00E80B9C" w:rsidP="00446BEE">
      <w:r>
        <w:separator/>
      </w:r>
    </w:p>
  </w:endnote>
  <w:endnote w:type="continuationSeparator" w:id="0">
    <w:p w14:paraId="2F2EDFD0" w14:textId="77777777" w:rsidR="00E80B9C" w:rsidRDefault="00E80B9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071288"/>
      <w:docPartObj>
        <w:docPartGallery w:val="Page Numbers (Bottom of Page)"/>
        <w:docPartUnique/>
      </w:docPartObj>
    </w:sdtPr>
    <w:sdtEndPr/>
    <w:sdtContent>
      <w:sdt>
        <w:sdtPr>
          <w:id w:val="-1669238322"/>
          <w:docPartObj>
            <w:docPartGallery w:val="Page Numbers (Top of Page)"/>
            <w:docPartUnique/>
          </w:docPartObj>
        </w:sdtPr>
        <w:sdtEndPr/>
        <w:sdtContent>
          <w:p w14:paraId="0E98A775" w14:textId="58CA0207" w:rsidR="002F0B70" w:rsidRDefault="002F0B70">
            <w:pPr>
              <w:pStyle w:val="Footer"/>
              <w:jc w:val="center"/>
            </w:pPr>
            <w:r w:rsidRPr="002F0B70">
              <w:rPr>
                <w:szCs w:val="20"/>
              </w:rPr>
              <w:t xml:space="preserve">Page </w:t>
            </w:r>
            <w:r w:rsidRPr="002F0B70">
              <w:rPr>
                <w:bCs/>
                <w:szCs w:val="20"/>
              </w:rPr>
              <w:fldChar w:fldCharType="begin"/>
            </w:r>
            <w:r w:rsidRPr="002F0B70">
              <w:rPr>
                <w:bCs/>
                <w:szCs w:val="20"/>
              </w:rPr>
              <w:instrText xml:space="preserve"> PAGE </w:instrText>
            </w:r>
            <w:r w:rsidRPr="002F0B70">
              <w:rPr>
                <w:bCs/>
                <w:szCs w:val="20"/>
              </w:rPr>
              <w:fldChar w:fldCharType="separate"/>
            </w:r>
            <w:r w:rsidR="00ED4D25">
              <w:rPr>
                <w:bCs/>
                <w:noProof/>
                <w:szCs w:val="20"/>
              </w:rPr>
              <w:t>2</w:t>
            </w:r>
            <w:r w:rsidRPr="002F0B70">
              <w:rPr>
                <w:bCs/>
                <w:szCs w:val="20"/>
              </w:rPr>
              <w:fldChar w:fldCharType="end"/>
            </w:r>
            <w:r w:rsidRPr="002F0B70">
              <w:rPr>
                <w:szCs w:val="20"/>
              </w:rPr>
              <w:t xml:space="preserve"> of </w:t>
            </w:r>
            <w:r w:rsidRPr="002F0B70">
              <w:rPr>
                <w:bCs/>
                <w:szCs w:val="20"/>
              </w:rPr>
              <w:fldChar w:fldCharType="begin"/>
            </w:r>
            <w:r w:rsidRPr="002F0B70">
              <w:rPr>
                <w:bCs/>
                <w:szCs w:val="20"/>
              </w:rPr>
              <w:instrText xml:space="preserve"> NUMPAGES  </w:instrText>
            </w:r>
            <w:r w:rsidRPr="002F0B70">
              <w:rPr>
                <w:bCs/>
                <w:szCs w:val="20"/>
              </w:rPr>
              <w:fldChar w:fldCharType="separate"/>
            </w:r>
            <w:r w:rsidR="00ED4D25">
              <w:rPr>
                <w:bCs/>
                <w:noProof/>
                <w:szCs w:val="20"/>
              </w:rPr>
              <w:t>2</w:t>
            </w:r>
            <w:r w:rsidRPr="002F0B70">
              <w:rPr>
                <w:bCs/>
                <w:szCs w:val="20"/>
              </w:rPr>
              <w:fldChar w:fldCharType="end"/>
            </w:r>
          </w:p>
        </w:sdtContent>
      </w:sdt>
    </w:sdtContent>
  </w:sdt>
  <w:p w14:paraId="115CEFAD" w14:textId="77777777" w:rsidR="00562467" w:rsidRDefault="0056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D751" w14:textId="77777777" w:rsidR="00E80B9C" w:rsidRDefault="00E80B9C" w:rsidP="00446BEE">
      <w:r>
        <w:separator/>
      </w:r>
    </w:p>
  </w:footnote>
  <w:footnote w:type="continuationSeparator" w:id="0">
    <w:p w14:paraId="755FF97C" w14:textId="77777777" w:rsidR="00E80B9C" w:rsidRDefault="00E80B9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C01E" w14:textId="77777777" w:rsidR="001B0995" w:rsidRDefault="001B0995">
    <w:pPr>
      <w:pStyle w:val="Header"/>
    </w:pPr>
    <w:r>
      <w:rPr>
        <w:noProof/>
      </w:rPr>
      <w:drawing>
        <wp:anchor distT="0" distB="0" distL="114300" distR="114300" simplePos="0" relativeHeight="251658240" behindDoc="1" locked="0" layoutInCell="1" allowOverlap="1" wp14:anchorId="64E72E05" wp14:editId="13DD756C">
          <wp:simplePos x="0" y="0"/>
          <wp:positionH relativeFrom="margin">
            <wp:posOffset>-617855</wp:posOffset>
          </wp:positionH>
          <wp:positionV relativeFrom="margin">
            <wp:posOffset>-515620</wp:posOffset>
          </wp:positionV>
          <wp:extent cx="2715260" cy="269240"/>
          <wp:effectExtent l="0" t="0" r="8890" b="0"/>
          <wp:wrapTight wrapText="bothSides">
            <wp:wrapPolygon edited="0">
              <wp:start x="0" y="0"/>
              <wp:lineTo x="0" y="19868"/>
              <wp:lineTo x="21519" y="19868"/>
              <wp:lineTo x="21519" y="12226"/>
              <wp:lineTo x="168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9783E"/>
    <w:multiLevelType w:val="hybridMultilevel"/>
    <w:tmpl w:val="5F606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23457"/>
    <w:multiLevelType w:val="hybridMultilevel"/>
    <w:tmpl w:val="ADA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A3679"/>
    <w:multiLevelType w:val="hybridMultilevel"/>
    <w:tmpl w:val="776AC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E9"/>
    <w:rsid w:val="00002954"/>
    <w:rsid w:val="000053F8"/>
    <w:rsid w:val="00010DCB"/>
    <w:rsid w:val="00024D0A"/>
    <w:rsid w:val="000472DC"/>
    <w:rsid w:val="00070065"/>
    <w:rsid w:val="00072214"/>
    <w:rsid w:val="000A4FEE"/>
    <w:rsid w:val="000B5939"/>
    <w:rsid w:val="000F05EA"/>
    <w:rsid w:val="00105383"/>
    <w:rsid w:val="00111CCE"/>
    <w:rsid w:val="001134E7"/>
    <w:rsid w:val="00124E11"/>
    <w:rsid w:val="001252E7"/>
    <w:rsid w:val="00153B12"/>
    <w:rsid w:val="0017169E"/>
    <w:rsid w:val="001727CC"/>
    <w:rsid w:val="00172B53"/>
    <w:rsid w:val="001B0995"/>
    <w:rsid w:val="001B0EE9"/>
    <w:rsid w:val="001B457E"/>
    <w:rsid w:val="001B65B3"/>
    <w:rsid w:val="001D1639"/>
    <w:rsid w:val="00223DAF"/>
    <w:rsid w:val="0023782A"/>
    <w:rsid w:val="002408EA"/>
    <w:rsid w:val="002819D7"/>
    <w:rsid w:val="0029735E"/>
    <w:rsid w:val="002A243E"/>
    <w:rsid w:val="002A6B4A"/>
    <w:rsid w:val="002C1A7E"/>
    <w:rsid w:val="002D3376"/>
    <w:rsid w:val="002E6606"/>
    <w:rsid w:val="002F0B70"/>
    <w:rsid w:val="00311ED0"/>
    <w:rsid w:val="003648C5"/>
    <w:rsid w:val="003722FA"/>
    <w:rsid w:val="003C3FAA"/>
    <w:rsid w:val="003C7AAF"/>
    <w:rsid w:val="003E6FDF"/>
    <w:rsid w:val="004075B6"/>
    <w:rsid w:val="00420952"/>
    <w:rsid w:val="00437064"/>
    <w:rsid w:val="00446BEE"/>
    <w:rsid w:val="004F6436"/>
    <w:rsid w:val="005025A1"/>
    <w:rsid w:val="00544BEB"/>
    <w:rsid w:val="00562467"/>
    <w:rsid w:val="005703E5"/>
    <w:rsid w:val="005A482A"/>
    <w:rsid w:val="00603BB0"/>
    <w:rsid w:val="006356B6"/>
    <w:rsid w:val="00664C6E"/>
    <w:rsid w:val="00670E37"/>
    <w:rsid w:val="006921E1"/>
    <w:rsid w:val="006B3D2D"/>
    <w:rsid w:val="006E1660"/>
    <w:rsid w:val="006F4B25"/>
    <w:rsid w:val="007001BE"/>
    <w:rsid w:val="00736348"/>
    <w:rsid w:val="0074292C"/>
    <w:rsid w:val="007B01CA"/>
    <w:rsid w:val="007F1EAF"/>
    <w:rsid w:val="0082384D"/>
    <w:rsid w:val="00861B92"/>
    <w:rsid w:val="008814FB"/>
    <w:rsid w:val="008924DB"/>
    <w:rsid w:val="008B42FE"/>
    <w:rsid w:val="008E0448"/>
    <w:rsid w:val="008E09E9"/>
    <w:rsid w:val="008F5E30"/>
    <w:rsid w:val="00914D7F"/>
    <w:rsid w:val="009B174F"/>
    <w:rsid w:val="009D6849"/>
    <w:rsid w:val="009E4F8E"/>
    <w:rsid w:val="009E680B"/>
    <w:rsid w:val="00A15A1F"/>
    <w:rsid w:val="00A2782B"/>
    <w:rsid w:val="00A3325A"/>
    <w:rsid w:val="00A43013"/>
    <w:rsid w:val="00AB5BF1"/>
    <w:rsid w:val="00AF108A"/>
    <w:rsid w:val="00AF3918"/>
    <w:rsid w:val="00B02E55"/>
    <w:rsid w:val="00B036C1"/>
    <w:rsid w:val="00B5431F"/>
    <w:rsid w:val="00B847F7"/>
    <w:rsid w:val="00BB2FAE"/>
    <w:rsid w:val="00BE31DF"/>
    <w:rsid w:val="00BF7FE0"/>
    <w:rsid w:val="00C01D99"/>
    <w:rsid w:val="00C21E3F"/>
    <w:rsid w:val="00C62E03"/>
    <w:rsid w:val="00C96411"/>
    <w:rsid w:val="00CA0CD9"/>
    <w:rsid w:val="00CF58B7"/>
    <w:rsid w:val="00CF6E6F"/>
    <w:rsid w:val="00D351C1"/>
    <w:rsid w:val="00D35EFB"/>
    <w:rsid w:val="00D504B3"/>
    <w:rsid w:val="00D86BF0"/>
    <w:rsid w:val="00DD0606"/>
    <w:rsid w:val="00DD6B20"/>
    <w:rsid w:val="00DF1390"/>
    <w:rsid w:val="00E01CE2"/>
    <w:rsid w:val="00E51920"/>
    <w:rsid w:val="00E64120"/>
    <w:rsid w:val="00E660A1"/>
    <w:rsid w:val="00E80B9C"/>
    <w:rsid w:val="00ED4D25"/>
    <w:rsid w:val="00F055F1"/>
    <w:rsid w:val="00F1774F"/>
    <w:rsid w:val="00F215DC"/>
    <w:rsid w:val="00F43284"/>
    <w:rsid w:val="00F520B3"/>
    <w:rsid w:val="00F610AF"/>
    <w:rsid w:val="00FA2C5A"/>
    <w:rsid w:val="00FC2D11"/>
    <w:rsid w:val="00FC6230"/>
    <w:rsid w:val="00FD5CEA"/>
    <w:rsid w:val="00FF422F"/>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F98AD"/>
  <w15:docId w15:val="{4CB78ED9-1726-41F1-9EDD-AF810F87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uiPriority w:val="99"/>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uiPriority w:val="99"/>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1D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22F"/>
    <w:pPr>
      <w:spacing w:before="120" w:line="360" w:lineRule="auto"/>
      <w:ind w:left="720"/>
      <w:contextualSpacing/>
    </w:pPr>
    <w:rPr>
      <w:rFonts w:ascii="Arial" w:eastAsiaTheme="minorEastAsia" w:hAnsi="Arial"/>
      <w:sz w:val="20"/>
      <w:szCs w:val="20"/>
      <w:lang w:eastAsia="ja-JP"/>
    </w:rPr>
  </w:style>
  <w:style w:type="character" w:styleId="Hyperlink">
    <w:name w:val="Hyperlink"/>
    <w:basedOn w:val="DefaultParagraphFont"/>
    <w:uiPriority w:val="99"/>
    <w:semiHidden/>
    <w:unhideWhenUsed/>
    <w:rsid w:val="002A243E"/>
    <w:rPr>
      <w:color w:val="0000FF"/>
      <w:u w:val="single"/>
    </w:rPr>
  </w:style>
  <w:style w:type="character" w:customStyle="1" w:styleId="small">
    <w:name w:val="small"/>
    <w:basedOn w:val="DefaultParagraphFont"/>
    <w:rsid w:val="002A243E"/>
  </w:style>
  <w:style w:type="table" w:styleId="MediumList2-Accent6">
    <w:name w:val="Medium List 2 Accent 6"/>
    <w:basedOn w:val="TableNormal"/>
    <w:uiPriority w:val="66"/>
    <w:rsid w:val="001B09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153B12"/>
    <w:rPr>
      <w:sz w:val="16"/>
      <w:szCs w:val="16"/>
    </w:rPr>
  </w:style>
  <w:style w:type="paragraph" w:styleId="CommentText">
    <w:name w:val="annotation text"/>
    <w:basedOn w:val="Normal"/>
    <w:link w:val="CommentTextChar"/>
    <w:semiHidden/>
    <w:unhideWhenUsed/>
    <w:rsid w:val="00153B12"/>
    <w:rPr>
      <w:sz w:val="20"/>
      <w:szCs w:val="20"/>
    </w:rPr>
  </w:style>
  <w:style w:type="character" w:customStyle="1" w:styleId="CommentTextChar">
    <w:name w:val="Comment Text Char"/>
    <w:basedOn w:val="DefaultParagraphFont"/>
    <w:link w:val="CommentText"/>
    <w:semiHidden/>
    <w:rsid w:val="00153B12"/>
  </w:style>
  <w:style w:type="paragraph" w:styleId="CommentSubject">
    <w:name w:val="annotation subject"/>
    <w:basedOn w:val="CommentText"/>
    <w:next w:val="CommentText"/>
    <w:link w:val="CommentSubjectChar"/>
    <w:semiHidden/>
    <w:unhideWhenUsed/>
    <w:rsid w:val="00153B12"/>
    <w:rPr>
      <w:b/>
      <w:bCs/>
    </w:rPr>
  </w:style>
  <w:style w:type="character" w:customStyle="1" w:styleId="CommentSubjectChar">
    <w:name w:val="Comment Subject Char"/>
    <w:basedOn w:val="CommentTextChar"/>
    <w:link w:val="CommentSubject"/>
    <w:semiHidden/>
    <w:rsid w:val="00153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8845">
      <w:bodyDiv w:val="1"/>
      <w:marLeft w:val="0"/>
      <w:marRight w:val="0"/>
      <w:marTop w:val="0"/>
      <w:marBottom w:val="0"/>
      <w:divBdr>
        <w:top w:val="none" w:sz="0" w:space="0" w:color="auto"/>
        <w:left w:val="none" w:sz="0" w:space="0" w:color="auto"/>
        <w:bottom w:val="none" w:sz="0" w:space="0" w:color="auto"/>
        <w:right w:val="none" w:sz="0" w:space="0" w:color="auto"/>
      </w:divBdr>
    </w:div>
    <w:div w:id="567153724">
      <w:bodyDiv w:val="1"/>
      <w:marLeft w:val="0"/>
      <w:marRight w:val="0"/>
      <w:marTop w:val="0"/>
      <w:marBottom w:val="0"/>
      <w:divBdr>
        <w:top w:val="none" w:sz="0" w:space="0" w:color="auto"/>
        <w:left w:val="none" w:sz="0" w:space="0" w:color="auto"/>
        <w:bottom w:val="none" w:sz="0" w:space="0" w:color="auto"/>
        <w:right w:val="none" w:sz="0" w:space="0" w:color="auto"/>
      </w:divBdr>
    </w:div>
    <w:div w:id="1297486909">
      <w:bodyDiv w:val="1"/>
      <w:marLeft w:val="0"/>
      <w:marRight w:val="0"/>
      <w:marTop w:val="0"/>
      <w:marBottom w:val="0"/>
      <w:divBdr>
        <w:top w:val="none" w:sz="0" w:space="0" w:color="auto"/>
        <w:left w:val="none" w:sz="0" w:space="0" w:color="auto"/>
        <w:bottom w:val="none" w:sz="0" w:space="0" w:color="auto"/>
        <w:right w:val="none" w:sz="0" w:space="0" w:color="auto"/>
      </w:divBdr>
    </w:div>
    <w:div w:id="1514683199">
      <w:bodyDiv w:val="1"/>
      <w:marLeft w:val="0"/>
      <w:marRight w:val="0"/>
      <w:marTop w:val="0"/>
      <w:marBottom w:val="0"/>
      <w:divBdr>
        <w:top w:val="none" w:sz="0" w:space="0" w:color="auto"/>
        <w:left w:val="none" w:sz="0" w:space="0" w:color="auto"/>
        <w:bottom w:val="none" w:sz="0" w:space="0" w:color="auto"/>
        <w:right w:val="none" w:sz="0" w:space="0" w:color="auto"/>
      </w:divBdr>
    </w:div>
    <w:div w:id="17245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agnostics%20Programme\05%20-%20Templates\10%20-%20Consultation\b.%20Consultation%20comments%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D96A-1DBB-40A3-B85D-22668E25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Consultation comments table</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Sexton</dc:creator>
  <cp:lastModifiedBy>janis Troup</cp:lastModifiedBy>
  <cp:revision>2</cp:revision>
  <dcterms:created xsi:type="dcterms:W3CDTF">2018-01-31T13:07:00Z</dcterms:created>
  <dcterms:modified xsi:type="dcterms:W3CDTF">2018-01-31T13:07:00Z</dcterms:modified>
</cp:coreProperties>
</file>